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335AD" w14:textId="77777777" w:rsidR="007F0840" w:rsidRDefault="007F0840" w:rsidP="007F0840">
      <w:pPr>
        <w:outlineLvl w:val="2"/>
        <w:rPr>
          <w:rFonts w:ascii="Verdana" w:eastAsia="Times New Roman" w:hAnsi="Verdana"/>
          <w:b/>
          <w:bCs/>
          <w:sz w:val="27"/>
          <w:szCs w:val="27"/>
        </w:rPr>
      </w:pPr>
      <w:r w:rsidRPr="007F0840">
        <w:rPr>
          <w:rFonts w:ascii="Verdana" w:eastAsia="Times New Roman" w:hAnsi="Verdana"/>
          <w:b/>
          <w:bCs/>
          <w:i/>
          <w:iCs/>
          <w:sz w:val="27"/>
          <w:szCs w:val="27"/>
        </w:rPr>
        <w:t>Florica Prevenda</w:t>
      </w:r>
    </w:p>
    <w:p w14:paraId="6AFD1728" w14:textId="16861A14" w:rsidR="007F0840" w:rsidRPr="007F0840" w:rsidRDefault="007F0840" w:rsidP="007F0840">
      <w:pPr>
        <w:outlineLvl w:val="2"/>
        <w:rPr>
          <w:rFonts w:ascii="Verdana" w:eastAsia="Times New Roman" w:hAnsi="Verdana"/>
          <w:b/>
          <w:bCs/>
          <w:sz w:val="27"/>
          <w:szCs w:val="27"/>
        </w:rPr>
      </w:pPr>
      <w:r w:rsidRPr="007F0840">
        <w:rPr>
          <w:rFonts w:ascii="Verdana" w:eastAsia="Times New Roman" w:hAnsi="Verdana"/>
          <w:color w:val="808080"/>
        </w:rPr>
        <w:t>(n. 1959, Dor Mărunt)</w:t>
      </w:r>
    </w:p>
    <w:p w14:paraId="1F7C8A2B" w14:textId="77777777" w:rsidR="00F07C88" w:rsidRPr="007F0840" w:rsidRDefault="00F07C88" w:rsidP="007F0840">
      <w:pPr>
        <w:jc w:val="both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bookmarkStart w:id="0" w:name="_GoBack"/>
      <w:bookmarkEnd w:id="0"/>
    </w:p>
    <w:p w14:paraId="6D2F8D95" w14:textId="77777777" w:rsidR="00F07C88" w:rsidRPr="007F0840" w:rsidRDefault="00F07C88" w:rsidP="007F0840">
      <w:pPr>
        <w:jc w:val="both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</w:p>
    <w:p w14:paraId="72DDF45F" w14:textId="77777777" w:rsidR="007F0840" w:rsidRPr="007F0840" w:rsidRDefault="007F0840" w:rsidP="007F0840">
      <w:pPr>
        <w:rPr>
          <w:rFonts w:ascii="Verdana" w:eastAsia="Times New Roman" w:hAnsi="Verdana"/>
          <w:b/>
          <w:bCs/>
          <w:sz w:val="20"/>
          <w:szCs w:val="20"/>
        </w:rPr>
      </w:pPr>
      <w:r w:rsidRPr="007F0840">
        <w:rPr>
          <w:rFonts w:ascii="Verdana" w:eastAsia="Times New Roman" w:hAnsi="Verdana"/>
          <w:b/>
          <w:bCs/>
          <w:color w:val="808080"/>
          <w:sz w:val="20"/>
          <w:szCs w:val="20"/>
        </w:rPr>
        <w:t>Studii</w:t>
      </w:r>
    </w:p>
    <w:p w14:paraId="47F4DED7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1984 Absolventă a Academiei de Artă din Iași</w:t>
      </w:r>
    </w:p>
    <w:p w14:paraId="1815C18A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1993–1997 Profesor asociat al Universității Naționale de Artă din București</w:t>
      </w:r>
    </w:p>
    <w:p w14:paraId="15AE8009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sz w:val="20"/>
          <w:szCs w:val="20"/>
        </w:rPr>
        <w:t> </w:t>
      </w:r>
    </w:p>
    <w:p w14:paraId="627295E2" w14:textId="77777777" w:rsidR="007F0840" w:rsidRPr="007F0840" w:rsidRDefault="007F0840" w:rsidP="007F0840">
      <w:pPr>
        <w:rPr>
          <w:rFonts w:ascii="Verdana" w:eastAsia="Times New Roman" w:hAnsi="Verdana"/>
          <w:b/>
          <w:bCs/>
          <w:sz w:val="20"/>
          <w:szCs w:val="20"/>
        </w:rPr>
      </w:pPr>
      <w:r w:rsidRPr="007F0840">
        <w:rPr>
          <w:rFonts w:ascii="Verdana" w:eastAsia="Times New Roman" w:hAnsi="Verdana"/>
          <w:b/>
          <w:bCs/>
          <w:color w:val="808080"/>
          <w:sz w:val="20"/>
          <w:szCs w:val="20"/>
        </w:rPr>
        <w:t>Expoziții personale</w:t>
      </w:r>
    </w:p>
    <w:p w14:paraId="6093951A" w14:textId="76F4F6A1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color w:val="808080"/>
          <w:sz w:val="20"/>
          <w:szCs w:val="20"/>
        </w:rPr>
        <w:t xml:space="preserve">2019 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Hangar, Brussels</w:t>
      </w:r>
    </w:p>
    <w:p w14:paraId="7EBD887F" w14:textId="046AF5E4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2017-2018 Mogosoaia Palace, Bucharest</w:t>
      </w:r>
    </w:p>
    <w:p w14:paraId="482A6C11" w14:textId="65AC0D56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2017 National Museum Brukenthal, Sibiu, Romania</w:t>
      </w:r>
    </w:p>
    <w:p w14:paraId="1E80B2CD" w14:textId="3DF0E031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color w:val="808080"/>
          <w:sz w:val="20"/>
          <w:szCs w:val="20"/>
        </w:rPr>
        <w:t xml:space="preserve">        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Romanian Cultural Institute, London</w:t>
      </w:r>
    </w:p>
    <w:p w14:paraId="4A582828" w14:textId="6F1048A5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2016 Romanian Cultural Institute, Vienna</w:t>
      </w:r>
    </w:p>
    <w:p w14:paraId="33095D86" w14:textId="507E8620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color w:val="808080"/>
          <w:sz w:val="20"/>
          <w:szCs w:val="20"/>
        </w:rPr>
        <w:t xml:space="preserve">         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Annart Gallery, Bucharest</w:t>
      </w:r>
    </w:p>
    <w:p w14:paraId="0955B31A" w14:textId="28DB74E1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 xml:space="preserve">        </w:t>
      </w:r>
      <w:r>
        <w:rPr>
          <w:rFonts w:ascii="Verdana" w:eastAsia="Times New Roman" w:hAnsi="Verdana"/>
          <w:bCs/>
          <w:color w:val="808080"/>
          <w:sz w:val="20"/>
          <w:szCs w:val="20"/>
        </w:rPr>
        <w:t xml:space="preserve"> 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Arielle d'Hauterives Gallery, Brussels</w:t>
      </w:r>
    </w:p>
    <w:p w14:paraId="37C4A29F" w14:textId="095D8240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         National Museum of Art, Chisinau</w:t>
      </w:r>
    </w:p>
    <w:p w14:paraId="0D9F6DC1" w14:textId="2708E78F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2014</w:t>
      </w:r>
      <w:r>
        <w:rPr>
          <w:rFonts w:ascii="Verdana" w:eastAsia="Times New Roman" w:hAnsi="Verdana"/>
          <w:bCs/>
          <w:color w:val="808080"/>
          <w:sz w:val="20"/>
          <w:szCs w:val="20"/>
        </w:rPr>
        <w:t xml:space="preserve"> 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 xml:space="preserve"> Muzeul de Artă Timișoara</w:t>
      </w:r>
    </w:p>
    <w:p w14:paraId="38423D3C" w14:textId="1A2DB50C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 xml:space="preserve">       </w:t>
      </w:r>
      <w:r>
        <w:rPr>
          <w:rFonts w:ascii="Verdana" w:eastAsia="Times New Roman" w:hAnsi="Verdana"/>
          <w:bCs/>
          <w:color w:val="808080"/>
          <w:sz w:val="20"/>
          <w:szCs w:val="20"/>
        </w:rPr>
        <w:t xml:space="preserve">  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AnnArt Gallery, București</w:t>
      </w:r>
    </w:p>
    <w:p w14:paraId="60340282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2013 Muzeul Brukenthal, Sibiu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2011 Muzeul Național de Artă din Cluj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2010 Arcade24 Gallery, Bistrița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       Biserica Herina, jud. Bistrița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       Arthus Gallery, Bruxelles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2008 Centrul Cultural Palatele Brâncovenești Mogoșoaia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2007 M.I.A. „One Woman Show”, Milano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2004 Galerie Het Dijkstoelhuis, Wageningen, Olanda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       Arthus Gallery, Bruxelles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       Galeria Simeza, București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2002 Galerie Het Dijkstoelhuis, Wageningen, Olanda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        FNV Kiem, Amsterdam, Olanda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2001 Arthus Gallery, Bruxelles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2000 Galerie Lamber, Valkenswaard, Olanda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1999 Arthus Gallery, Bruxelles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       Muzeul Național de Artă a României, București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1997 Galeria Artexpo, Etaj 3/4 , București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1996 European Commission (Rotonde), Bruxelles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       Pictură murală, Granvillar, Franța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1992 Galeria Căminul Artei, București</w:t>
      </w:r>
    </w:p>
    <w:p w14:paraId="46511BA7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sz w:val="20"/>
          <w:szCs w:val="20"/>
        </w:rPr>
        <w:t> </w:t>
      </w:r>
    </w:p>
    <w:p w14:paraId="309EBB1F" w14:textId="77777777" w:rsidR="007F0840" w:rsidRPr="007F0840" w:rsidRDefault="007F0840" w:rsidP="007F0840">
      <w:pPr>
        <w:rPr>
          <w:rFonts w:ascii="Verdana" w:eastAsia="Times New Roman" w:hAnsi="Verdana"/>
          <w:b/>
          <w:bCs/>
          <w:sz w:val="20"/>
          <w:szCs w:val="20"/>
        </w:rPr>
      </w:pPr>
      <w:r w:rsidRPr="007F0840">
        <w:rPr>
          <w:rFonts w:ascii="Verdana" w:eastAsia="Times New Roman" w:hAnsi="Verdana"/>
          <w:b/>
          <w:bCs/>
          <w:color w:val="808080"/>
          <w:sz w:val="20"/>
          <w:szCs w:val="20"/>
        </w:rPr>
        <w:t>Expoziții de grup</w:t>
      </w:r>
    </w:p>
    <w:p w14:paraId="547D6BDA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2020 Contemporary National Art Museum, Bucharest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2019 Visual Art Center, Bucharest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2018 European Parliament, Bruxelles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  Art Thessaloniki International Contemporary Art Fair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  Contemporary National Museum of Art, Bucharest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  Literature National Museum, Bucharest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  Art Museum, Timisoara, Romania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  National Museum Cotroceni, Bucharest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lastRenderedPageBreak/>
        <w:t>          Art Museum, Constanta, Romania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2017 Kallo Gallery, Tirana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  «Colonia Pictorilor», Baia-Mare, Romania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  Centrul Artelor Vizuale, Bucuresti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  National Museum Brukenthal, Sibiu, Romania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2015 National Contemporary Art Museum (MNAC), Bucharest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  C.A.R. - Contemporary Art Ruhr, Essen, Germany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  Art Safari, Bucharest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  Katzen Art Center, Washington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2014 National Contemporary Art Museum (MNAC), Bucharest2014-2015 AnnArt Gallery, București</w:t>
      </w:r>
    </w:p>
    <w:p w14:paraId="6A9F70FF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          Muzeul Național de Artă Contemporană, București</w:t>
      </w:r>
    </w:p>
    <w:p w14:paraId="01BEC892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2013-2014 AnnArt Gallery, București</w:t>
      </w:r>
    </w:p>
    <w:p w14:paraId="0F214C07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2013 Galerie Arielle d`Hauterives, Bruxelles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       Galerie Oben, Chemnitz, Germania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        BWA Sokol, Contemporary Art Gallery, Nowy Sacz, Polonia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2012 Art Karlsruhe, Karlsruhe, Germania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2011 BWA Sokol, Contemporary Art Gallery, Nowy Sacz, Polonia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2011 Palace of Arts Society of Friends of Fine Arts, Cracovia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2010 Galeria Căminul Artei, București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        Slide Room Gallery, Vancouver Island School of Art, Victoria, Canada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        Parcours d`Artistes, Bruxelles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        Patricia Munoz Gallery, Barcelona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        Institutul Cultural Român, Londra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        Institutul Cultural Român, Tel Aviv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2009 Peninsula Arts Gallery, University of Plymouth, Marea Britanie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       Kralingen Gallery, Rotterdam, Olanda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       Spazio di Teatro “Senza Quinte” Olbia, Italia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       Muzeul Negreşti–Oaş, Negreşti–Oaş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       Centrul Internațional pentru Artă Contemporană, București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        Kralingen Gallery, Rotterdam, Olanda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  Spazio di Teatro „Senza Quinte" Olbia, Italia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  Palac Sztuki Gallery, Cracovia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  Ground Gallery, Windsor, Canada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  Mistlin Gallery, Modesto, California, SUA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  Shan Alam Gallery, Malaezia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2008 Galleria G 28, Pallazzo Marini, Cagliari, Italia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Circolo Arcimontorio, Verona, Italia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Performance, Space of Contemporary Art, Chelsea, New York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  Oravska Gallery Dolnim Kubinie, Slovacia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Palace of Arts, Lvov, Ucraina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Art exhibition Office, Rzeszow, Polonia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Palatul Artelor, Baia Mare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2007 WTC Art Gallery, Rotterdam, Olanda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Muzeul de Artă din Constanța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  Gallery of the House of an Artist, Varșovia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  PROFIL, Gallery of Modern Art, Poznan, Polonia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Art Exhibition Office, Olsztyn, Polonia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  National Art Gallery, Bratislava, Slovacia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Gallery of Modern Art, Kolobrzeg, Polonia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lastRenderedPageBreak/>
        <w:t>         The Castle of Pomeranian Princes, Szczecin, Polonia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  Palac Sztuki Gallery, Cracovia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  Miejska Galeria Sztuki, Zakopane, Polonia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2006 Veroniki Art Gallery, București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Muzeul de Artă din Constanța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International Biennial Exhibition, Nowy Sacz, Polonia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2005 Centrul Cultural Palatele Brâncovenești - Muzeul Mogoșoaia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2004 Het Dijkstoelhuis Gallery, Wageningen, Olanda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  Centrul „Constantin Brâncuși”, Chișinău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  DAP Gallery, Varșovia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2003 Kralingen Gallery, Rotterdam, Olanda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Galerie BWA, Bydgoszcz, Polonia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Centrul „Constantin Brâncuși”, Chișinău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Muzeul Național de Artă Contemporană, București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Palac Stuki Gallery, Cracovia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Muzeul de Artă din Bacău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2002 Het Dijkstoelhuis Gallery, Wageningen, Olanda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International Biennial Exhibition, Now Sacz, Polonia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2001 Heinolan Taidemuseum, Finlanda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„De Kopgroep”, Lamber Gallery, Valkenswaard, Olanda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2000 „Common Sense 2000”, Berenberg, Germania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„Frozen Moments”, Lamber Gallery, Valkenswaard, Olanda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„Velico Tarnovo 2000”, Velico Tarnova, Bulgaria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Atelierroute Regio Eindhoven, Olanda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1999 Holland Art Fair, Alkmaar, Olanda</w:t>
      </w:r>
    </w:p>
    <w:p w14:paraId="0B6E6ADC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          Marga Kramer Gallery, Ilsselstein, Olanda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Arthus Gallery, Bruxelles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„Artistes de Bucarest“, Mussee Ianchelevici, La Louvière, Belgia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  Escape Gallery, Deventer, Olanda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1998 Palatul Parlamentului, București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Escape Gallery, Deventer, Olanda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1995 „L’Aigle de Nice”, Grand Prix International des Arts Plastiques de la Ville de Nice et de la région Provence, Alpes, Côte d’Azur, Franța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Covalenco Galley, Geldrop, Olanda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  „Rives 95. Exposition Peintures Sculptures” C.N.B.D.I. (Centre national de la bande dessinée et de l’image), Angoulême, Franța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  „24 Peintres et Sculpteurs Contemporains. Itinéraires au de là des voyages”, Maureen O’Hare Wolson Gallery, Grenoble, Franța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1994 „St. Quentin 4-mx Biennale Internationale du Pastel”, Espace Saint-Jacques, Saint-Quentin, Franța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  Eröffnun der Ausstellung „hinter den 7 Meeren“ Landesvertretung von Anhalt, Bonn, Germania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1994,1997 „Romanian Contemporary Art“, Agial Gallery, Beirut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1994 Centrul Cultural Maghiar, București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1993 Centrul Cultural Latino-american, București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  „Common Sense”, Bernburg, Germania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Efehaus Gallery, Wernigerode, Germania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Caisse d’Epargne Gallery, Belfort, Franța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1992 „Artist of Europe” Efehaus Gallery, Wernigerode, Germania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 xml:space="preserve">1992,1993 „Künstler des Plenair in Wernigerode – hinert den 7 Meeren”, Wernigerode, 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lastRenderedPageBreak/>
        <w:t>Germania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1989 The Youth Biennial, Sofia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          Galeria Simeza, București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1988 Galeria Municipiului București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1986 Galeria Eforie, București</w:t>
      </w:r>
    </w:p>
    <w:p w14:paraId="26063AE3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sz w:val="20"/>
          <w:szCs w:val="20"/>
        </w:rPr>
        <w:t> </w:t>
      </w:r>
    </w:p>
    <w:p w14:paraId="580DDC72" w14:textId="77777777" w:rsidR="007F0840" w:rsidRPr="007F0840" w:rsidRDefault="007F0840" w:rsidP="007F0840">
      <w:pPr>
        <w:rPr>
          <w:rFonts w:ascii="Verdana" w:eastAsia="Times New Roman" w:hAnsi="Verdana"/>
          <w:b/>
          <w:bCs/>
          <w:sz w:val="20"/>
          <w:szCs w:val="20"/>
        </w:rPr>
      </w:pPr>
      <w:r w:rsidRPr="007F0840">
        <w:rPr>
          <w:rFonts w:ascii="Verdana" w:eastAsia="Times New Roman" w:hAnsi="Verdana"/>
          <w:b/>
          <w:bCs/>
          <w:color w:val="808080"/>
          <w:sz w:val="20"/>
          <w:szCs w:val="20"/>
        </w:rPr>
        <w:t>Premii</w:t>
      </w:r>
    </w:p>
    <w:p w14:paraId="26CEF448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2011 „Premiul onorific” al Centrului Cultural Malopolska SOKOL în Nowy Sacz, Polonia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2010 „Marele Premiu pentru Pictură al Municipiului București” în cadrul Festivalului Artelor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2006 Premiul juriului, Biennial Exhibition, Nowy Sacz, Poland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2005 „Meritul Cultural” în grad de Cavaler, acordat de Președintele României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2003 „Marele Premiu pentru Pictură” la Saloanele Moldovei, Chișinău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1995 „Premiul Municipalității pentru Tineri Artiști”, București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1992 „Premiul U.A.P. pentru Tineret”, București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1991 Premiul „Dominus" pentru pictură, București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1989-1990 Premiul pentru pictură la „Expoziția tineretului”, Artexpo, București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1986-1988 Bursa „Theodor Aman" pentru pictură, București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br/>
        <w:t>1986 Bursa U.A.P. pentru pictură</w:t>
      </w:r>
    </w:p>
    <w:p w14:paraId="6C7E3317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sz w:val="20"/>
          <w:szCs w:val="20"/>
        </w:rPr>
        <w:t> </w:t>
      </w:r>
    </w:p>
    <w:p w14:paraId="407AD764" w14:textId="77777777" w:rsidR="007F0840" w:rsidRPr="007F0840" w:rsidRDefault="007F0840" w:rsidP="007F0840">
      <w:pPr>
        <w:rPr>
          <w:rFonts w:ascii="Verdana" w:eastAsia="Times New Roman" w:hAnsi="Verdana"/>
          <w:b/>
          <w:bCs/>
          <w:sz w:val="20"/>
          <w:szCs w:val="20"/>
        </w:rPr>
      </w:pPr>
      <w:r w:rsidRPr="007F0840">
        <w:rPr>
          <w:rFonts w:ascii="Verdana" w:eastAsia="Times New Roman" w:hAnsi="Verdana"/>
          <w:b/>
          <w:bCs/>
          <w:color w:val="808080"/>
          <w:sz w:val="20"/>
          <w:szCs w:val="20"/>
        </w:rPr>
        <w:t>Publicații</w:t>
      </w:r>
    </w:p>
    <w:p w14:paraId="43A5EFAB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i/>
          <w:iCs/>
          <w:color w:val="808080"/>
          <w:sz w:val="20"/>
          <w:szCs w:val="20"/>
        </w:rPr>
        <w:t xml:space="preserve">Florica Prevenda: Facelook, 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catalogul expoziției de la Galeria AnnArt, București, 2014, ISBN 978-973-0-16560-9, cu texte semnate de Gabriela Massaci, Aurelia Mocanu și Diana Ursan</w:t>
      </w:r>
    </w:p>
    <w:p w14:paraId="4FE852E1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i/>
          <w:iCs/>
          <w:color w:val="808080"/>
          <w:sz w:val="20"/>
          <w:szCs w:val="20"/>
        </w:rPr>
        <w:t>Serenity,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catalogul expoziției de la Arthus Gallery, Buxelles, 2011, cu un text de Adriana Oprea</w:t>
      </w:r>
    </w:p>
    <w:p w14:paraId="1EC060D3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i/>
          <w:iCs/>
          <w:color w:val="808080"/>
          <w:sz w:val="20"/>
          <w:szCs w:val="20"/>
        </w:rPr>
        <w:t xml:space="preserve">Time Regained, 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catalogul expozției de la Arthus Gallery, Bruxelles, 2009, cu texte semnate de Adrian Guță, Aurelia Mocanu și Florica Prevenda</w:t>
      </w:r>
    </w:p>
    <w:p w14:paraId="554F4562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i/>
          <w:iCs/>
          <w:color w:val="808080"/>
          <w:sz w:val="20"/>
          <w:szCs w:val="20"/>
        </w:rPr>
        <w:t xml:space="preserve">Shadows of the Present, 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catalogul expoziției de la Arthus Gallery, Bruxelles, 2004, cu un text de Adrian Guță</w:t>
      </w:r>
    </w:p>
    <w:p w14:paraId="5D25AC6C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i/>
          <w:iCs/>
          <w:color w:val="808080"/>
          <w:sz w:val="20"/>
          <w:szCs w:val="20"/>
        </w:rPr>
        <w:t xml:space="preserve">Faces Without a Face, 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catalogul expoziției de la Muzeul Național de Artă, București, 1999, reeditat în engleză de Arthus Gallery, Bruxelles, 2010, cu un text de Ruxandra Balaci</w:t>
      </w:r>
    </w:p>
    <w:p w14:paraId="095493B0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sz w:val="20"/>
          <w:szCs w:val="20"/>
        </w:rPr>
        <w:t> </w:t>
      </w:r>
    </w:p>
    <w:p w14:paraId="0CB2825C" w14:textId="77777777" w:rsidR="007F0840" w:rsidRPr="007F0840" w:rsidRDefault="007F0840" w:rsidP="007F0840">
      <w:pPr>
        <w:rPr>
          <w:rFonts w:ascii="Verdana" w:eastAsia="Times New Roman" w:hAnsi="Verdana"/>
          <w:b/>
          <w:bCs/>
          <w:sz w:val="20"/>
          <w:szCs w:val="20"/>
        </w:rPr>
      </w:pPr>
      <w:r w:rsidRPr="007F0840">
        <w:rPr>
          <w:rFonts w:ascii="Verdana" w:eastAsia="Times New Roman" w:hAnsi="Verdana"/>
          <w:b/>
          <w:bCs/>
          <w:color w:val="808080"/>
          <w:sz w:val="20"/>
          <w:szCs w:val="20"/>
        </w:rPr>
        <w:t>Articole</w:t>
      </w:r>
    </w:p>
    <w:p w14:paraId="373FB879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 xml:space="preserve">Aurelia Mocanu, „Florica Prevenda – Profilaj”, în </w:t>
      </w:r>
      <w:r w:rsidRPr="007F0840">
        <w:rPr>
          <w:rFonts w:ascii="Verdana" w:eastAsia="Times New Roman" w:hAnsi="Verdana"/>
          <w:bCs/>
          <w:i/>
          <w:iCs/>
          <w:color w:val="808080"/>
          <w:sz w:val="20"/>
          <w:szCs w:val="20"/>
        </w:rPr>
        <w:t>Arta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, nr. 11, 2014, pp. 58-61</w:t>
      </w:r>
    </w:p>
    <w:p w14:paraId="2294C483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 xml:space="preserve">Ioana Tamaș, „Piața de artă din România. Artistul – interviu cu Florica Prevenda”, în </w:t>
      </w:r>
      <w:r w:rsidRPr="007F0840">
        <w:rPr>
          <w:rFonts w:ascii="Verdana" w:eastAsia="Times New Roman" w:hAnsi="Verdana"/>
          <w:bCs/>
          <w:i/>
          <w:iCs/>
          <w:color w:val="808080"/>
          <w:sz w:val="20"/>
          <w:szCs w:val="20"/>
        </w:rPr>
        <w:t xml:space="preserve">Dilema Veche, 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18 Dec. 2013</w:t>
      </w:r>
    </w:p>
    <w:p w14:paraId="4043A52A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 xml:space="preserve">Ovidiu Pecican, „Chipul neconcesiv al artistei”, în </w:t>
      </w:r>
      <w:r w:rsidRPr="007F0840">
        <w:rPr>
          <w:rFonts w:ascii="Verdana" w:eastAsia="Times New Roman" w:hAnsi="Verdana"/>
          <w:bCs/>
          <w:i/>
          <w:iCs/>
          <w:color w:val="808080"/>
          <w:sz w:val="20"/>
          <w:szCs w:val="20"/>
        </w:rPr>
        <w:t xml:space="preserve">Ziarul Financiar, 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11 Apr 2011</w:t>
      </w:r>
    </w:p>
    <w:p w14:paraId="7E241259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 xml:space="preserve">Aurelia Mocanu, „Umbra chipului. Exfolieri și depuneri”, în </w:t>
      </w:r>
      <w:r w:rsidRPr="007F0840">
        <w:rPr>
          <w:rFonts w:ascii="Verdana" w:eastAsia="Times New Roman" w:hAnsi="Verdana"/>
          <w:bCs/>
          <w:i/>
          <w:iCs/>
          <w:color w:val="808080"/>
          <w:sz w:val="20"/>
          <w:szCs w:val="20"/>
        </w:rPr>
        <w:t xml:space="preserve">Observator cultural, 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nr. 442, 2008</w:t>
      </w:r>
    </w:p>
    <w:p w14:paraId="48E0D538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 xml:space="preserve">Aurelia Mocanu, „Timpul regăsirii”, în </w:t>
      </w:r>
      <w:r w:rsidRPr="007F0840">
        <w:rPr>
          <w:rFonts w:ascii="Verdana" w:eastAsia="Times New Roman" w:hAnsi="Verdana"/>
          <w:bCs/>
          <w:i/>
          <w:iCs/>
          <w:color w:val="808080"/>
          <w:sz w:val="20"/>
          <w:szCs w:val="20"/>
        </w:rPr>
        <w:t xml:space="preserve">Ziarul Financiar, 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01 Aug 2008</w:t>
      </w:r>
    </w:p>
    <w:p w14:paraId="7460ACF7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 xml:space="preserve">Aurelia Mocanu, „Aud materia pictând”, în </w:t>
      </w:r>
      <w:r w:rsidRPr="007F0840">
        <w:rPr>
          <w:rFonts w:ascii="Verdana" w:eastAsia="Times New Roman" w:hAnsi="Verdana"/>
          <w:bCs/>
          <w:i/>
          <w:iCs/>
          <w:color w:val="808080"/>
          <w:sz w:val="20"/>
          <w:szCs w:val="20"/>
        </w:rPr>
        <w:t xml:space="preserve">Ziarul Financiar, 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01 Febr. 2008</w:t>
      </w:r>
    </w:p>
    <w:p w14:paraId="3BD887F3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 xml:space="preserve">Corneliu Antim, „Prezentul continuu”, în </w:t>
      </w:r>
      <w:r w:rsidRPr="007F0840">
        <w:rPr>
          <w:rFonts w:ascii="Verdana" w:eastAsia="Times New Roman" w:hAnsi="Verdana"/>
          <w:bCs/>
          <w:i/>
          <w:iCs/>
          <w:color w:val="808080"/>
          <w:sz w:val="20"/>
          <w:szCs w:val="20"/>
        </w:rPr>
        <w:t xml:space="preserve">Ziarul Financiar, 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20 Iun 2008</w:t>
      </w:r>
    </w:p>
    <w:p w14:paraId="7CE457CE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 xml:space="preserve">Adrian Guță, „Umbre ale prezentului”, în </w:t>
      </w:r>
      <w:r w:rsidRPr="007F0840">
        <w:rPr>
          <w:rFonts w:ascii="Verdana" w:eastAsia="Times New Roman" w:hAnsi="Verdana"/>
          <w:bCs/>
          <w:i/>
          <w:iCs/>
          <w:color w:val="808080"/>
          <w:sz w:val="20"/>
          <w:szCs w:val="20"/>
        </w:rPr>
        <w:t xml:space="preserve">Observator Cultural, 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nr. 205, 2004</w:t>
      </w:r>
    </w:p>
    <w:p w14:paraId="5F097491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 xml:space="preserve">Corneliu Antim, „Searching for the primordial man”, în </w:t>
      </w:r>
      <w:r w:rsidRPr="007F0840">
        <w:rPr>
          <w:rFonts w:ascii="Verdana" w:eastAsia="Times New Roman" w:hAnsi="Verdana"/>
          <w:bCs/>
          <w:i/>
          <w:iCs/>
          <w:color w:val="808080"/>
          <w:sz w:val="20"/>
          <w:szCs w:val="20"/>
        </w:rPr>
        <w:t xml:space="preserve">Ziarul Financiar, 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Febr. 2004</w:t>
      </w:r>
    </w:p>
    <w:p w14:paraId="08C9CCE6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 xml:space="preserve">Colette Bertot, „Florica Prevenda: les ombres du présent”, în </w:t>
      </w:r>
      <w:r w:rsidRPr="007F0840">
        <w:rPr>
          <w:rFonts w:ascii="Verdana" w:eastAsia="Times New Roman" w:hAnsi="Verdana"/>
          <w:bCs/>
          <w:i/>
          <w:iCs/>
          <w:color w:val="808080"/>
          <w:sz w:val="20"/>
          <w:szCs w:val="20"/>
        </w:rPr>
        <w:t xml:space="preserve">L’ECHO, 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14 Iun 2004</w:t>
      </w:r>
    </w:p>
    <w:p w14:paraId="40C64E73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 xml:space="preserve">Door Theo van der Zalm, „Spiegels van de ziel in het Dijkstoelhuis”, în </w:t>
      </w:r>
      <w:r w:rsidRPr="007F0840">
        <w:rPr>
          <w:rFonts w:ascii="Verdana" w:eastAsia="Times New Roman" w:hAnsi="Verdana"/>
          <w:bCs/>
          <w:i/>
          <w:iCs/>
          <w:color w:val="808080"/>
          <w:sz w:val="20"/>
          <w:szCs w:val="20"/>
        </w:rPr>
        <w:t xml:space="preserve">de Veluwepost, </w:t>
      </w: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Oct. 2002</w:t>
      </w:r>
    </w:p>
    <w:p w14:paraId="12BC62C7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color w:val="808080"/>
          <w:sz w:val="20"/>
          <w:szCs w:val="20"/>
        </w:rPr>
        <w:t>Corneliu Antim, „The revealed face - the imagined face - the devoured face”, în Ziarul Financiar, Mai 1999</w:t>
      </w:r>
    </w:p>
    <w:p w14:paraId="60262D54" w14:textId="77777777" w:rsidR="007F0840" w:rsidRPr="007F0840" w:rsidRDefault="007F0840" w:rsidP="007F0840">
      <w:pPr>
        <w:rPr>
          <w:rFonts w:ascii="Verdana" w:eastAsia="Times New Roman" w:hAnsi="Verdana"/>
          <w:bCs/>
          <w:sz w:val="20"/>
          <w:szCs w:val="20"/>
        </w:rPr>
      </w:pPr>
      <w:r w:rsidRPr="007F0840">
        <w:rPr>
          <w:rFonts w:ascii="Verdana" w:eastAsia="Times New Roman" w:hAnsi="Verdana"/>
          <w:bCs/>
          <w:sz w:val="20"/>
          <w:szCs w:val="20"/>
        </w:rPr>
        <w:t> </w:t>
      </w:r>
    </w:p>
    <w:p w14:paraId="33A5E2D5" w14:textId="77777777" w:rsidR="007F0840" w:rsidRPr="007F0840" w:rsidRDefault="007F0840" w:rsidP="007F0840">
      <w:pPr>
        <w:rPr>
          <w:rFonts w:ascii="Verdana" w:eastAsia="Times New Roman" w:hAnsi="Verdana"/>
          <w:b/>
          <w:bCs/>
          <w:i/>
          <w:sz w:val="20"/>
          <w:szCs w:val="20"/>
        </w:rPr>
      </w:pPr>
      <w:r w:rsidRPr="007F0840">
        <w:rPr>
          <w:rFonts w:ascii="Verdana" w:eastAsia="Times New Roman" w:hAnsi="Verdana"/>
          <w:b/>
          <w:bCs/>
          <w:i/>
          <w:color w:val="808080"/>
          <w:sz w:val="20"/>
          <w:szCs w:val="20"/>
        </w:rPr>
        <w:t>Lucrări în colecții publice și private</w:t>
      </w:r>
    </w:p>
    <w:p w14:paraId="33DFD328" w14:textId="77777777" w:rsidR="004841E0" w:rsidRPr="007F0840" w:rsidRDefault="004841E0" w:rsidP="007F0840">
      <w:pPr>
        <w:ind w:firstLine="708"/>
        <w:jc w:val="both"/>
        <w:rPr>
          <w:rFonts w:ascii="Verdana" w:hAnsi="Verdana"/>
          <w:sz w:val="20"/>
          <w:szCs w:val="20"/>
        </w:rPr>
      </w:pPr>
    </w:p>
    <w:sectPr w:rsidR="004841E0" w:rsidRPr="007F0840" w:rsidSect="00A36BCD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CBE79" w14:textId="77777777" w:rsidR="004B5291" w:rsidRDefault="004B5291" w:rsidP="00A36BCD">
      <w:r>
        <w:separator/>
      </w:r>
    </w:p>
  </w:endnote>
  <w:endnote w:type="continuationSeparator" w:id="0">
    <w:p w14:paraId="40334255" w14:textId="77777777" w:rsidR="004B5291" w:rsidRDefault="004B5291" w:rsidP="00A3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3A683" w14:textId="77777777" w:rsidR="004B5291" w:rsidRDefault="004B5291" w:rsidP="00A36BCD">
      <w:r>
        <w:separator/>
      </w:r>
    </w:p>
  </w:footnote>
  <w:footnote w:type="continuationSeparator" w:id="0">
    <w:p w14:paraId="09076771" w14:textId="77777777" w:rsidR="004B5291" w:rsidRDefault="004B5291" w:rsidP="00A3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E0201" w14:textId="77777777" w:rsidR="004841E0" w:rsidRDefault="004841E0" w:rsidP="00A36BCD">
    <w:pPr>
      <w:pStyle w:val="Header"/>
      <w:ind w:left="-1260"/>
    </w:pPr>
    <w:r>
      <w:rPr>
        <w:noProof/>
        <w:lang w:eastAsia="ro-RO"/>
      </w:rPr>
      <w:drawing>
        <wp:inline distT="0" distB="0" distL="0" distR="0" wp14:anchorId="6D6EE4C5" wp14:editId="524B4623">
          <wp:extent cx="7556882" cy="1365245"/>
          <wp:effectExtent l="0" t="0" r="6350" b="698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ANDREI MURESAN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9670" cy="1387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52"/>
    <w:rsid w:val="00135D4F"/>
    <w:rsid w:val="001D7EC7"/>
    <w:rsid w:val="0022117A"/>
    <w:rsid w:val="00234052"/>
    <w:rsid w:val="002903DA"/>
    <w:rsid w:val="003136E0"/>
    <w:rsid w:val="00323C0D"/>
    <w:rsid w:val="003629EB"/>
    <w:rsid w:val="00367ECE"/>
    <w:rsid w:val="00423CA4"/>
    <w:rsid w:val="004841E0"/>
    <w:rsid w:val="004B5291"/>
    <w:rsid w:val="004D4844"/>
    <w:rsid w:val="005E1DEC"/>
    <w:rsid w:val="006A7D62"/>
    <w:rsid w:val="00750FF4"/>
    <w:rsid w:val="007F0840"/>
    <w:rsid w:val="00850987"/>
    <w:rsid w:val="008B075B"/>
    <w:rsid w:val="00A36BCD"/>
    <w:rsid w:val="00B3577A"/>
    <w:rsid w:val="00BE7219"/>
    <w:rsid w:val="00BE7E24"/>
    <w:rsid w:val="00C3174F"/>
    <w:rsid w:val="00C70C2C"/>
    <w:rsid w:val="00DB71C8"/>
    <w:rsid w:val="00EE582C"/>
    <w:rsid w:val="00F07C88"/>
    <w:rsid w:val="00F8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1FA12"/>
  <w15:chartTrackingRefBased/>
  <w15:docId w15:val="{DD9BE75B-5651-4FDE-A537-FB767A43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BCD"/>
    <w:pPr>
      <w:spacing w:after="0" w:line="240" w:lineRule="auto"/>
    </w:pPr>
    <w:rPr>
      <w:rFonts w:ascii="Times New Roman" w:hAnsi="Times New Roman" w:cs="Times New Roman"/>
      <w:sz w:val="24"/>
      <w:szCs w:val="24"/>
      <w:lang w:val="ro-RO" w:eastAsia="ro-RO"/>
    </w:rPr>
  </w:style>
  <w:style w:type="paragraph" w:styleId="Heading3">
    <w:name w:val="heading 3"/>
    <w:basedOn w:val="Normal"/>
    <w:link w:val="Heading3Char"/>
    <w:uiPriority w:val="9"/>
    <w:qFormat/>
    <w:rsid w:val="007F084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BCD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6BCD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36BCD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36BCD"/>
    <w:rPr>
      <w:lang w:val="ro-RO"/>
    </w:rPr>
  </w:style>
  <w:style w:type="paragraph" w:styleId="NormalWeb">
    <w:name w:val="Normal (Web)"/>
    <w:basedOn w:val="Normal"/>
    <w:uiPriority w:val="99"/>
    <w:semiHidden/>
    <w:unhideWhenUsed/>
    <w:rsid w:val="00A36BCD"/>
    <w:pPr>
      <w:spacing w:before="100" w:beforeAutospacing="1" w:after="100" w:afterAutospacing="1"/>
    </w:pPr>
  </w:style>
  <w:style w:type="character" w:customStyle="1" w:styleId="font">
    <w:name w:val="font"/>
    <w:basedOn w:val="DefaultParagraphFont"/>
    <w:rsid w:val="00A36BCD"/>
  </w:style>
  <w:style w:type="character" w:customStyle="1" w:styleId="size">
    <w:name w:val="size"/>
    <w:basedOn w:val="DefaultParagraphFont"/>
    <w:rsid w:val="00A36BCD"/>
  </w:style>
  <w:style w:type="character" w:customStyle="1" w:styleId="zw-portion">
    <w:name w:val="zw-portion"/>
    <w:basedOn w:val="DefaultParagraphFont"/>
    <w:rsid w:val="004841E0"/>
  </w:style>
  <w:style w:type="character" w:customStyle="1" w:styleId="zw-space">
    <w:name w:val="zw-space"/>
    <w:basedOn w:val="DefaultParagraphFont"/>
    <w:rsid w:val="004841E0"/>
  </w:style>
  <w:style w:type="character" w:customStyle="1" w:styleId="eop">
    <w:name w:val="eop"/>
    <w:basedOn w:val="DefaultParagraphFont"/>
    <w:rsid w:val="004841E0"/>
  </w:style>
  <w:style w:type="character" w:styleId="Strong">
    <w:name w:val="Strong"/>
    <w:basedOn w:val="DefaultParagraphFont"/>
    <w:uiPriority w:val="22"/>
    <w:qFormat/>
    <w:rsid w:val="00F07C88"/>
    <w:rPr>
      <w:b/>
      <w:bCs/>
    </w:rPr>
  </w:style>
  <w:style w:type="character" w:styleId="Emphasis">
    <w:name w:val="Emphasis"/>
    <w:basedOn w:val="DefaultParagraphFont"/>
    <w:uiPriority w:val="20"/>
    <w:qFormat/>
    <w:rsid w:val="007F084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7F0840"/>
    <w:rPr>
      <w:rFonts w:ascii="Times New Roman" w:eastAsia="Times New Roman" w:hAnsi="Times New Roman" w:cs="Times New Roman"/>
      <w:b/>
      <w:bCs/>
      <w:sz w:val="27"/>
      <w:szCs w:val="27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2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1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8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9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8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7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6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0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7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8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7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9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2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1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1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0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3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8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3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9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0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9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8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6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5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5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4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3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2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6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4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8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3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9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6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0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0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5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7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5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4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4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2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8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7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1392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2021-03-12T15:28:00Z</dcterms:created>
  <dcterms:modified xsi:type="dcterms:W3CDTF">2021-03-14T22:40:00Z</dcterms:modified>
</cp:coreProperties>
</file>